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报价单参考模板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中国银行保险传媒股份有限公司：</w:t>
      </w:r>
    </w:p>
    <w:p>
      <w:pPr>
        <w:pStyle w:val="6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我方对“中国银行保险传媒股份有限公司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养老财富规划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供应商集中采购”项目报价如下：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一、课程目标与定位由银保传媒确定，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课程制作与录制成本由我方承担。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培训费用合作分成比例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</w:rPr>
        <w:t>个人购买（C端）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按照线上实际到账《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中国银行保险报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学习频道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的收入扣除渠道分销成本后的余额进行分账，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合作期间，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银保传媒占实际营收的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，我方占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企业付费（B端）分成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按实际到账营收扣除渠道分销成本后的余额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进行分账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合作期间，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银保传媒占实际营收的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，我方占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报价方（章）：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NDEzODE1NDE2NjIxMzYxMWJlYTVjMzgyMGE4ODIifQ=="/>
  </w:docVars>
  <w:rsids>
    <w:rsidRoot w:val="1E484B19"/>
    <w:rsid w:val="005E5477"/>
    <w:rsid w:val="07542817"/>
    <w:rsid w:val="0D941811"/>
    <w:rsid w:val="196977E9"/>
    <w:rsid w:val="1A4B59CE"/>
    <w:rsid w:val="1D5D3C2A"/>
    <w:rsid w:val="1E484B19"/>
    <w:rsid w:val="26362D32"/>
    <w:rsid w:val="26FC301D"/>
    <w:rsid w:val="313245C3"/>
    <w:rsid w:val="33F070EE"/>
    <w:rsid w:val="36FC71DB"/>
    <w:rsid w:val="39D71F65"/>
    <w:rsid w:val="458F5904"/>
    <w:rsid w:val="4595149D"/>
    <w:rsid w:val="53140537"/>
    <w:rsid w:val="56E16F8C"/>
    <w:rsid w:val="57960E4C"/>
    <w:rsid w:val="5C222FCC"/>
    <w:rsid w:val="5C4F11F4"/>
    <w:rsid w:val="686E5597"/>
    <w:rsid w:val="6CD41E4B"/>
    <w:rsid w:val="73876685"/>
    <w:rsid w:val="78E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278</Characters>
  <Lines>0</Lines>
  <Paragraphs>0</Paragraphs>
  <TotalTime>0</TotalTime>
  <ScaleCrop>false</ScaleCrop>
  <LinksUpToDate>false</LinksUpToDate>
  <CharactersWithSpaces>298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2022-01-26T01:23:00Z</dcterms:created>
  <dc:creator>翟青林</dc:creator>
  <cp:lastModifiedBy>郭文婷</cp:lastModifiedBy>
  <dcterms:modified xsi:type="dcterms:W3CDTF">2023-02-20T06:09:20Z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BCAA653830C943BC997965FBA31EA0FD</vt:lpwstr>
  </property>
  <property fmtid="{D5CDD505-2E9C-101B-9397-08002B2CF9AE}" pid="4" name="commondata">
    <vt:lpwstr>eyJoZGlkIjoiMzU3M2I5MDI5OWFmNDA5YzlkNjUyMzE1YzZjNmVlMTUifQ==</vt:lpwstr>
  </property>
</Properties>
</file>